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904B9F" w14:textId="695E8248" w:rsidR="00545EB2" w:rsidRPr="00CC0CB8" w:rsidRDefault="00545EB2" w:rsidP="00352827">
      <w:pPr>
        <w:tabs>
          <w:tab w:val="left" w:pos="2130"/>
        </w:tabs>
        <w:rPr>
          <w:rFonts w:cstheme="minorHAnsi"/>
          <w:lang w:bidi="bn-IN"/>
        </w:rPr>
      </w:pPr>
    </w:p>
    <w:p w14:paraId="1111D3B6" w14:textId="77777777" w:rsidR="00352827" w:rsidRPr="00CC0CB8" w:rsidRDefault="00352827" w:rsidP="00352827">
      <w:pPr>
        <w:spacing w:line="240" w:lineRule="auto"/>
        <w:contextualSpacing/>
        <w:jc w:val="center"/>
        <w:rPr>
          <w:rFonts w:cstheme="minorHAnsi"/>
          <w:b/>
          <w:color w:val="000000" w:themeColor="text1"/>
          <w:lang w:val="en-GB"/>
        </w:rPr>
      </w:pPr>
      <w:r w:rsidRPr="00CC0CB8">
        <w:rPr>
          <w:rFonts w:cstheme="minorHAnsi"/>
          <w:b/>
          <w:color w:val="000000" w:themeColor="text1"/>
          <w:lang w:val="en-GB"/>
        </w:rPr>
        <w:t>Press Release</w:t>
      </w:r>
    </w:p>
    <w:p w14:paraId="73F3B3C6" w14:textId="77777777" w:rsidR="00352827" w:rsidRPr="00CC0CB8" w:rsidRDefault="00352827" w:rsidP="00352827">
      <w:pPr>
        <w:spacing w:line="240" w:lineRule="auto"/>
        <w:contextualSpacing/>
        <w:jc w:val="both"/>
        <w:rPr>
          <w:rFonts w:cstheme="minorHAnsi"/>
          <w:bCs/>
          <w:color w:val="000000" w:themeColor="text1"/>
          <w:lang w:val="en-GB"/>
        </w:rPr>
      </w:pPr>
    </w:p>
    <w:p w14:paraId="674497C8" w14:textId="5932A9E6" w:rsidR="00352827" w:rsidRPr="00CC0CB8" w:rsidRDefault="00352827" w:rsidP="00352827">
      <w:pPr>
        <w:spacing w:line="240" w:lineRule="auto"/>
        <w:contextualSpacing/>
        <w:jc w:val="both"/>
        <w:rPr>
          <w:rFonts w:cstheme="minorHAnsi"/>
          <w:bCs/>
          <w:color w:val="000000" w:themeColor="text1"/>
          <w:lang w:val="en-GB"/>
        </w:rPr>
      </w:pPr>
      <w:r w:rsidRPr="00CC0CB8">
        <w:rPr>
          <w:rFonts w:cstheme="minorHAnsi"/>
          <w:bCs/>
          <w:color w:val="000000" w:themeColor="text1"/>
          <w:lang w:val="en-GB"/>
        </w:rPr>
        <w:t>BUILD/09/2025/3</w:t>
      </w:r>
      <w:r w:rsidR="005867D5" w:rsidRPr="00CC0CB8">
        <w:rPr>
          <w:rFonts w:cstheme="minorHAnsi"/>
          <w:bCs/>
          <w:color w:val="000000" w:themeColor="text1"/>
          <w:lang w:val="en-GB"/>
        </w:rPr>
        <w:t>43</w:t>
      </w:r>
      <w:r w:rsidRPr="00CC0CB8">
        <w:rPr>
          <w:rFonts w:cstheme="minorHAnsi"/>
          <w:bCs/>
          <w:color w:val="000000" w:themeColor="text1"/>
          <w:lang w:val="en-GB"/>
        </w:rPr>
        <w:tab/>
      </w:r>
      <w:r w:rsidRPr="00CC0CB8">
        <w:rPr>
          <w:rFonts w:cstheme="minorHAnsi"/>
          <w:bCs/>
          <w:color w:val="000000" w:themeColor="text1"/>
          <w:lang w:val="en-GB"/>
        </w:rPr>
        <w:tab/>
      </w:r>
      <w:r w:rsidRPr="00CC0CB8">
        <w:rPr>
          <w:rFonts w:cstheme="minorHAnsi"/>
          <w:bCs/>
          <w:color w:val="000000" w:themeColor="text1"/>
          <w:lang w:val="en-GB"/>
        </w:rPr>
        <w:tab/>
      </w:r>
      <w:r w:rsidRPr="00CC0CB8">
        <w:rPr>
          <w:rFonts w:cstheme="minorHAnsi"/>
          <w:bCs/>
          <w:color w:val="000000" w:themeColor="text1"/>
          <w:lang w:val="en-GB"/>
        </w:rPr>
        <w:tab/>
      </w:r>
      <w:r w:rsidRPr="00CC0CB8">
        <w:rPr>
          <w:rFonts w:cstheme="minorHAnsi"/>
          <w:bCs/>
          <w:color w:val="000000" w:themeColor="text1"/>
          <w:lang w:val="en-GB"/>
        </w:rPr>
        <w:tab/>
      </w:r>
      <w:r w:rsidRPr="00CC0CB8">
        <w:rPr>
          <w:rFonts w:cstheme="minorHAnsi"/>
          <w:bCs/>
          <w:color w:val="000000" w:themeColor="text1"/>
          <w:lang w:val="en-GB"/>
        </w:rPr>
        <w:tab/>
      </w:r>
      <w:r w:rsidRPr="00CC0CB8">
        <w:rPr>
          <w:rFonts w:cstheme="minorHAnsi"/>
          <w:bCs/>
          <w:color w:val="000000" w:themeColor="text1"/>
          <w:lang w:val="en-GB"/>
        </w:rPr>
        <w:tab/>
        <w:t xml:space="preserve"> Date: September 1</w:t>
      </w:r>
      <w:r w:rsidR="00663163">
        <w:rPr>
          <w:bCs/>
          <w:color w:val="000000" w:themeColor="text1"/>
          <w:szCs w:val="28"/>
          <w:lang w:bidi="bn-IN"/>
        </w:rPr>
        <w:t>8</w:t>
      </w:r>
      <w:r w:rsidRPr="00CC0CB8">
        <w:rPr>
          <w:rFonts w:cstheme="minorHAnsi"/>
          <w:bCs/>
          <w:color w:val="000000" w:themeColor="text1"/>
          <w:lang w:val="en-GB"/>
        </w:rPr>
        <w:t>, 2025</w:t>
      </w:r>
    </w:p>
    <w:p w14:paraId="4D7FC060" w14:textId="75B525D1" w:rsidR="00352827" w:rsidRPr="00CC0CB8" w:rsidRDefault="00352827" w:rsidP="00352827">
      <w:pPr>
        <w:tabs>
          <w:tab w:val="left" w:pos="200"/>
        </w:tabs>
        <w:spacing w:line="240" w:lineRule="auto"/>
        <w:contextualSpacing/>
        <w:jc w:val="both"/>
        <w:rPr>
          <w:rFonts w:cstheme="minorHAnsi"/>
          <w:bCs/>
          <w:color w:val="000000" w:themeColor="text1"/>
          <w:u w:val="single"/>
          <w:lang w:val="en-GB"/>
        </w:rPr>
      </w:pPr>
    </w:p>
    <w:p w14:paraId="6C3BC509" w14:textId="05EAF421" w:rsidR="00352827" w:rsidRPr="00CC0CB8" w:rsidRDefault="00352827" w:rsidP="00A91C9D">
      <w:pPr>
        <w:tabs>
          <w:tab w:val="left" w:pos="200"/>
        </w:tabs>
        <w:spacing w:line="240" w:lineRule="auto"/>
        <w:contextualSpacing/>
        <w:jc w:val="both"/>
        <w:rPr>
          <w:rFonts w:cstheme="minorHAnsi"/>
          <w:bCs/>
          <w:color w:val="000000" w:themeColor="text1"/>
          <w:u w:val="single"/>
          <w:lang w:val="en-GB"/>
        </w:rPr>
      </w:pPr>
      <w:r w:rsidRPr="00CC0CB8">
        <w:rPr>
          <w:rFonts w:cstheme="minorHAnsi"/>
          <w:bCs/>
          <w:color w:val="000000" w:themeColor="text1"/>
          <w:u w:val="single"/>
          <w:lang w:val="en-GB"/>
        </w:rPr>
        <w:t>Attn: News Editor/ Chief Reporter/ Assignment Editor/ Business Page-in-Charge:</w:t>
      </w:r>
    </w:p>
    <w:p w14:paraId="5BAB0705" w14:textId="704FA80A" w:rsidR="007F0112" w:rsidRPr="00CC0CB8" w:rsidRDefault="007F0112" w:rsidP="007F0112">
      <w:pPr>
        <w:jc w:val="center"/>
        <w:rPr>
          <w:rFonts w:cstheme="minorHAnsi"/>
          <w:b/>
          <w:color w:val="000000" w:themeColor="text1"/>
        </w:rPr>
      </w:pPr>
    </w:p>
    <w:p w14:paraId="1CF737D2" w14:textId="3E30FF29" w:rsidR="009F590D" w:rsidRPr="00CC0CB8" w:rsidRDefault="00B61F85" w:rsidP="007F0112">
      <w:pPr>
        <w:jc w:val="center"/>
        <w:rPr>
          <w:rFonts w:cstheme="minorHAnsi"/>
          <w:b/>
          <w:color w:val="000000" w:themeColor="text1"/>
        </w:rPr>
      </w:pPr>
      <w:r w:rsidRPr="00CC0CB8">
        <w:rPr>
          <w:rFonts w:cstheme="minorHAnsi"/>
          <w:b/>
          <w:color w:val="000000" w:themeColor="text1"/>
        </w:rPr>
        <w:t xml:space="preserve">Automated </w:t>
      </w:r>
      <w:r w:rsidR="00D43D38" w:rsidRPr="00CC0CB8">
        <w:rPr>
          <w:rFonts w:cstheme="minorHAnsi"/>
          <w:b/>
          <w:color w:val="000000" w:themeColor="text1"/>
        </w:rPr>
        <w:t>TDS</w:t>
      </w:r>
      <w:r w:rsidR="00A91C9D" w:rsidRPr="00CC0CB8">
        <w:rPr>
          <w:rFonts w:cstheme="minorHAnsi"/>
          <w:b/>
          <w:color w:val="000000" w:themeColor="text1"/>
        </w:rPr>
        <w:t xml:space="preserve"> </w:t>
      </w:r>
      <w:r w:rsidRPr="00CC0CB8">
        <w:rPr>
          <w:rFonts w:cstheme="minorHAnsi"/>
          <w:b/>
          <w:color w:val="000000" w:themeColor="text1"/>
        </w:rPr>
        <w:t xml:space="preserve">Refund System is </w:t>
      </w:r>
      <w:r w:rsidR="00D43D38" w:rsidRPr="00CC0CB8">
        <w:rPr>
          <w:rFonts w:cstheme="minorHAnsi"/>
          <w:b/>
          <w:color w:val="000000" w:themeColor="text1"/>
        </w:rPr>
        <w:t>likely</w:t>
      </w:r>
      <w:r w:rsidRPr="00CC0CB8">
        <w:rPr>
          <w:rFonts w:cstheme="minorHAnsi"/>
          <w:b/>
          <w:color w:val="000000" w:themeColor="text1"/>
        </w:rPr>
        <w:t xml:space="preserve"> </w:t>
      </w:r>
      <w:r w:rsidR="007F0112" w:rsidRPr="00CC0CB8">
        <w:rPr>
          <w:rFonts w:cstheme="minorHAnsi"/>
          <w:b/>
          <w:color w:val="000000" w:themeColor="text1"/>
        </w:rPr>
        <w:t>to</w:t>
      </w:r>
      <w:r w:rsidR="00A91C9D" w:rsidRPr="00CC0CB8">
        <w:rPr>
          <w:rFonts w:cstheme="minorHAnsi"/>
          <w:b/>
          <w:color w:val="000000" w:themeColor="text1"/>
        </w:rPr>
        <w:t xml:space="preserve"> be</w:t>
      </w:r>
      <w:r w:rsidR="007F0112" w:rsidRPr="00CC0CB8">
        <w:rPr>
          <w:rFonts w:cstheme="minorHAnsi"/>
          <w:b/>
          <w:color w:val="000000" w:themeColor="text1"/>
        </w:rPr>
        <w:t xml:space="preserve"> </w:t>
      </w:r>
      <w:r w:rsidR="00D43D38" w:rsidRPr="00CC0CB8">
        <w:rPr>
          <w:rFonts w:cstheme="minorHAnsi"/>
          <w:b/>
          <w:color w:val="000000" w:themeColor="text1"/>
        </w:rPr>
        <w:t>Operationalized</w:t>
      </w:r>
      <w:r w:rsidR="007F0112" w:rsidRPr="00CC0CB8">
        <w:rPr>
          <w:rFonts w:cstheme="minorHAnsi"/>
          <w:b/>
          <w:color w:val="000000" w:themeColor="text1"/>
        </w:rPr>
        <w:t xml:space="preserve"> </w:t>
      </w:r>
      <w:r w:rsidR="00D43D38" w:rsidRPr="00CC0CB8">
        <w:rPr>
          <w:rFonts w:cstheme="minorHAnsi"/>
          <w:b/>
          <w:color w:val="000000" w:themeColor="text1"/>
        </w:rPr>
        <w:t>by</w:t>
      </w:r>
      <w:r w:rsidR="007F0112" w:rsidRPr="00CC0CB8">
        <w:rPr>
          <w:rFonts w:cstheme="minorHAnsi"/>
          <w:b/>
          <w:color w:val="000000" w:themeColor="text1"/>
        </w:rPr>
        <w:t xml:space="preserve"> </w:t>
      </w:r>
      <w:r w:rsidR="00D43D38" w:rsidRPr="00CC0CB8">
        <w:rPr>
          <w:rFonts w:cstheme="minorHAnsi"/>
          <w:b/>
          <w:color w:val="000000" w:themeColor="text1"/>
        </w:rPr>
        <w:t>the Coming</w:t>
      </w:r>
      <w:r w:rsidR="007F0112" w:rsidRPr="00CC0CB8">
        <w:rPr>
          <w:rFonts w:cstheme="minorHAnsi"/>
          <w:b/>
          <w:color w:val="000000" w:themeColor="text1"/>
        </w:rPr>
        <w:t xml:space="preserve"> Month</w:t>
      </w:r>
      <w:r w:rsidR="00D43D38" w:rsidRPr="00CC0CB8">
        <w:rPr>
          <w:rFonts w:cstheme="minorHAnsi"/>
          <w:b/>
          <w:color w:val="000000" w:themeColor="text1"/>
        </w:rPr>
        <w:t>s</w:t>
      </w:r>
    </w:p>
    <w:p w14:paraId="7DD53E06" w14:textId="438731F7" w:rsidR="00DB2BE7" w:rsidRPr="00CC0CB8" w:rsidRDefault="00191979" w:rsidP="00151D05">
      <w:pPr>
        <w:tabs>
          <w:tab w:val="left" w:pos="2130"/>
        </w:tabs>
        <w:rPr>
          <w:rFonts w:cstheme="minorHAnsi"/>
          <w:lang w:bidi="bn-IN"/>
        </w:rPr>
      </w:pPr>
      <w:r w:rsidRPr="00CC0CB8">
        <w:rPr>
          <w:rFonts w:cstheme="minorHAnsi"/>
          <w:lang w:bidi="bn-IN"/>
        </w:rPr>
        <w:t>Business Initiative Leading Development (BUIL</w:t>
      </w:r>
      <w:r w:rsidR="00802D2A" w:rsidRPr="00CC0CB8">
        <w:rPr>
          <w:rFonts w:cstheme="minorHAnsi"/>
          <w:lang w:bidi="bn-IN"/>
        </w:rPr>
        <w:t xml:space="preserve">D) organized a dialogue on </w:t>
      </w:r>
      <w:r w:rsidR="00151D05" w:rsidRPr="00CC0CB8">
        <w:rPr>
          <w:rFonts w:cstheme="minorHAnsi"/>
          <w:lang w:bidi="bn-IN"/>
        </w:rPr>
        <w:t>‘Policy Reform Requirements for Non-Adjustable TDS’ on September 17, 2025 at DCCI Auditorium, Dhaka.</w:t>
      </w:r>
      <w:r w:rsidR="005B13EC" w:rsidRPr="00CC0CB8">
        <w:rPr>
          <w:rFonts w:cstheme="minorHAnsi"/>
          <w:lang w:bidi="bn-IN"/>
        </w:rPr>
        <w:t xml:space="preserve"> Md. Abdur Rahman Khan, Chairman,</w:t>
      </w:r>
      <w:r w:rsidR="004861A2" w:rsidRPr="00CC0CB8">
        <w:rPr>
          <w:rFonts w:cstheme="minorHAnsi"/>
          <w:lang w:bidi="bn-IN"/>
        </w:rPr>
        <w:t xml:space="preserve"> NBR was the chief guest at the ev</w:t>
      </w:r>
      <w:r w:rsidR="00A06595" w:rsidRPr="00CC0CB8">
        <w:rPr>
          <w:rFonts w:cstheme="minorHAnsi"/>
          <w:lang w:bidi="bn-IN"/>
        </w:rPr>
        <w:t>e</w:t>
      </w:r>
      <w:r w:rsidR="004861A2" w:rsidRPr="00CC0CB8">
        <w:rPr>
          <w:rFonts w:cstheme="minorHAnsi"/>
          <w:lang w:bidi="bn-IN"/>
        </w:rPr>
        <w:t>n</w:t>
      </w:r>
      <w:r w:rsidR="00A06595" w:rsidRPr="00CC0CB8">
        <w:rPr>
          <w:rFonts w:cstheme="minorHAnsi"/>
          <w:lang w:bidi="bn-IN"/>
        </w:rPr>
        <w:t>t</w:t>
      </w:r>
      <w:r w:rsidR="004861A2" w:rsidRPr="00CC0CB8">
        <w:rPr>
          <w:rFonts w:cstheme="minorHAnsi"/>
          <w:lang w:bidi="bn-IN"/>
        </w:rPr>
        <w:t>, while Dr</w:t>
      </w:r>
      <w:r w:rsidR="00A06595" w:rsidRPr="00CC0CB8">
        <w:rPr>
          <w:rFonts w:cstheme="minorHAnsi"/>
          <w:lang w:bidi="bn-IN"/>
        </w:rPr>
        <w:t>. Mohammad Abu Yusuf, Secretary</w:t>
      </w:r>
      <w:r w:rsidR="005B13EC" w:rsidRPr="00CC0CB8">
        <w:rPr>
          <w:rFonts w:cstheme="minorHAnsi"/>
          <w:lang w:bidi="bn-IN"/>
        </w:rPr>
        <w:t>,</w:t>
      </w:r>
      <w:r w:rsidR="00A06595" w:rsidRPr="00CC0CB8">
        <w:rPr>
          <w:rFonts w:cstheme="minorHAnsi"/>
          <w:lang w:bidi="bn-IN"/>
        </w:rPr>
        <w:t xml:space="preserve"> Ministry of Social Welfare</w:t>
      </w:r>
      <w:r w:rsidR="00D854DE" w:rsidRPr="00CC0CB8">
        <w:rPr>
          <w:rFonts w:cstheme="minorHAnsi"/>
          <w:lang w:bidi="bn-IN"/>
        </w:rPr>
        <w:t xml:space="preserve"> was the special guest</w:t>
      </w:r>
      <w:r w:rsidR="005B13EC" w:rsidRPr="00CC0CB8">
        <w:rPr>
          <w:rFonts w:cstheme="minorHAnsi"/>
          <w:lang w:bidi="bn-IN"/>
        </w:rPr>
        <w:t>. The o</w:t>
      </w:r>
      <w:r w:rsidR="00054362" w:rsidRPr="00CC0CB8">
        <w:rPr>
          <w:rFonts w:cstheme="minorHAnsi"/>
          <w:lang w:bidi="bn-IN"/>
        </w:rPr>
        <w:t>bjective</w:t>
      </w:r>
      <w:r w:rsidR="00DB2BE7" w:rsidRPr="00CC0CB8">
        <w:rPr>
          <w:rFonts w:cstheme="minorHAnsi"/>
          <w:lang w:bidi="bn-IN"/>
        </w:rPr>
        <w:t xml:space="preserve"> of the event was to </w:t>
      </w:r>
      <w:r w:rsidR="00BD54D1" w:rsidRPr="00CC0CB8">
        <w:rPr>
          <w:rFonts w:cstheme="minorHAnsi"/>
          <w:lang w:bidi="bn-IN"/>
        </w:rPr>
        <w:t>recommend practical reforms and provide an actionable roadmap to simplify the TDS refund system, enhancing transparency, efficiency, and fairness for taxpayers.</w:t>
      </w:r>
    </w:p>
    <w:p w14:paraId="12A7033D" w14:textId="42B53E41" w:rsidR="00247869" w:rsidRPr="00CC0CB8" w:rsidRDefault="00247869" w:rsidP="00247869">
      <w:pPr>
        <w:pStyle w:val="NormalWeb"/>
        <w:rPr>
          <w:rFonts w:asciiTheme="minorHAnsi" w:hAnsiTheme="minorHAnsi" w:cstheme="minorHAnsi"/>
          <w:sz w:val="22"/>
          <w:szCs w:val="22"/>
        </w:rPr>
      </w:pPr>
      <w:r w:rsidRPr="00CC0CB8">
        <w:rPr>
          <w:rFonts w:asciiTheme="minorHAnsi" w:hAnsiTheme="minorHAnsi" w:cstheme="minorHAnsi"/>
          <w:sz w:val="22"/>
          <w:szCs w:val="22"/>
        </w:rPr>
        <w:t>In his address, NBR Chairman Md. Abdur Rahman Khan highlighted that while TDS is an effective global practice, its implementation in Bangladesh is hampered by operational inefficiencies, leading to delays in adjustments. He noted that the analytical tools within the ASYCUDA system are not being fully utilized. To address these issues, he stated that the NBR is gradually reducing TDS rates and is likely to automate the TDS refund system in the coming months. The Chairman also pointed out that in some cases, Advance Income Tax (AIT) rates are as high as 20%, which is close to the total corporate tax. He emphasized the need for urgent research to establish benchmarks for rationalizing and making TDS rates sector-specific, all while working towards tax justice without compromising the tax-to-GDP ratio.</w:t>
      </w:r>
    </w:p>
    <w:p w14:paraId="2C3402CB" w14:textId="77777777" w:rsidR="00247869" w:rsidRPr="00CC0CB8" w:rsidRDefault="00247869" w:rsidP="00247869">
      <w:pPr>
        <w:pStyle w:val="NormalWeb"/>
        <w:rPr>
          <w:rFonts w:asciiTheme="minorHAnsi" w:hAnsiTheme="minorHAnsi" w:cstheme="minorHAnsi"/>
          <w:sz w:val="22"/>
          <w:szCs w:val="22"/>
        </w:rPr>
      </w:pPr>
      <w:r w:rsidRPr="00CC0CB8">
        <w:rPr>
          <w:rFonts w:asciiTheme="minorHAnsi" w:hAnsiTheme="minorHAnsi" w:cstheme="minorHAnsi"/>
          <w:sz w:val="22"/>
          <w:szCs w:val="22"/>
        </w:rPr>
        <w:t>Dr. Mohammad Abu Yusuf, Secretary of the Ministry of Social Welfare, focused on policy gaps and inconsistencies, citing examples from countries with more efficient tax refund systems. He acknowledged that delays in receiving refunds block working capital and reduce the profitability of small businesses. He suggested that linking the informal economy to the tax system could significantly increase the tax-to-GDP ratio.</w:t>
      </w:r>
    </w:p>
    <w:p w14:paraId="625BF219" w14:textId="77777777" w:rsidR="00247869" w:rsidRPr="00CC0CB8" w:rsidRDefault="00247869" w:rsidP="00247869">
      <w:pPr>
        <w:pStyle w:val="NormalWeb"/>
        <w:rPr>
          <w:rFonts w:asciiTheme="minorHAnsi" w:hAnsiTheme="minorHAnsi" w:cstheme="minorHAnsi"/>
          <w:sz w:val="22"/>
          <w:szCs w:val="22"/>
        </w:rPr>
      </w:pPr>
      <w:r w:rsidRPr="00CC0CB8">
        <w:rPr>
          <w:rFonts w:asciiTheme="minorHAnsi" w:hAnsiTheme="minorHAnsi" w:cstheme="minorHAnsi"/>
          <w:sz w:val="22"/>
          <w:szCs w:val="22"/>
        </w:rPr>
        <w:t>Taskeen Ahmed, President of DCCI, expressed his organization's interest in collaborating with BUILD to simplify the TDS process.</w:t>
      </w:r>
    </w:p>
    <w:p w14:paraId="7C638670" w14:textId="65F3815C" w:rsidR="00247869" w:rsidRPr="00CC0CB8" w:rsidRDefault="00247869" w:rsidP="00247869">
      <w:pPr>
        <w:pStyle w:val="NormalWeb"/>
        <w:rPr>
          <w:rFonts w:asciiTheme="minorHAnsi" w:hAnsiTheme="minorHAnsi" w:cstheme="minorHAnsi"/>
          <w:sz w:val="22"/>
          <w:szCs w:val="22"/>
        </w:rPr>
      </w:pPr>
      <w:r w:rsidRPr="00CC0CB8">
        <w:rPr>
          <w:rFonts w:asciiTheme="minorHAnsi" w:hAnsiTheme="minorHAnsi" w:cstheme="minorHAnsi"/>
          <w:sz w:val="22"/>
          <w:szCs w:val="22"/>
        </w:rPr>
        <w:t>Abul Kasem Khan, Chairperson of BUILD, described the current refund system as "very complicated," noting that some businesses are forced to maintain two separate accounting systems. He attributed the low tax-to-GDP ratio to the difficult tax structure and stressed that without mutual confidence between the public and private sectors, no significant improvement can be achieved.</w:t>
      </w:r>
    </w:p>
    <w:p w14:paraId="6003AC6B" w14:textId="74FB0059" w:rsidR="006366DD" w:rsidRPr="00CC0CB8" w:rsidRDefault="006366DD" w:rsidP="006366DD">
      <w:pPr>
        <w:pStyle w:val="NormalWeb"/>
        <w:rPr>
          <w:rFonts w:asciiTheme="minorHAnsi" w:hAnsiTheme="minorHAnsi" w:cstheme="minorHAnsi"/>
          <w:sz w:val="22"/>
          <w:szCs w:val="22"/>
        </w:rPr>
      </w:pPr>
      <w:r w:rsidRPr="00CC0CB8">
        <w:rPr>
          <w:rFonts w:asciiTheme="minorHAnsi" w:hAnsiTheme="minorHAnsi" w:cstheme="minorHAnsi"/>
          <w:sz w:val="22"/>
          <w:szCs w:val="22"/>
        </w:rPr>
        <w:t>In the keynote presentation, Dr. Wasel Bin Shadat, Research Director, BUILD, noted that the current non-adjustable nature of</w:t>
      </w:r>
      <w:r w:rsidR="004C0309" w:rsidRPr="00CC0CB8">
        <w:rPr>
          <w:rFonts w:asciiTheme="minorHAnsi" w:hAnsiTheme="minorHAnsi" w:cstheme="minorHAnsi"/>
          <w:sz w:val="22"/>
          <w:szCs w:val="22"/>
        </w:rPr>
        <w:t xml:space="preserve"> Tax Deducted at Source</w:t>
      </w:r>
      <w:r w:rsidRPr="00CC0CB8">
        <w:rPr>
          <w:rFonts w:asciiTheme="minorHAnsi" w:hAnsiTheme="minorHAnsi" w:cstheme="minorHAnsi"/>
          <w:sz w:val="22"/>
          <w:szCs w:val="22"/>
        </w:rPr>
        <w:t xml:space="preserve"> </w:t>
      </w:r>
      <w:r w:rsidR="004C0309" w:rsidRPr="00CC0CB8">
        <w:rPr>
          <w:rFonts w:asciiTheme="minorHAnsi" w:hAnsiTheme="minorHAnsi" w:cstheme="minorHAnsi"/>
          <w:sz w:val="22"/>
          <w:szCs w:val="22"/>
        </w:rPr>
        <w:t>(</w:t>
      </w:r>
      <w:r w:rsidRPr="00CC0CB8">
        <w:rPr>
          <w:rFonts w:asciiTheme="minorHAnsi" w:hAnsiTheme="minorHAnsi" w:cstheme="minorHAnsi"/>
          <w:sz w:val="22"/>
          <w:szCs w:val="22"/>
        </w:rPr>
        <w:t>TDS</w:t>
      </w:r>
      <w:r w:rsidR="004C0309" w:rsidRPr="00CC0CB8">
        <w:rPr>
          <w:rFonts w:asciiTheme="minorHAnsi" w:hAnsiTheme="minorHAnsi" w:cstheme="minorHAnsi"/>
          <w:sz w:val="22"/>
          <w:szCs w:val="22"/>
        </w:rPr>
        <w:t>)</w:t>
      </w:r>
      <w:r w:rsidRPr="00CC0CB8">
        <w:rPr>
          <w:rFonts w:asciiTheme="minorHAnsi" w:hAnsiTheme="minorHAnsi" w:cstheme="minorHAnsi"/>
          <w:sz w:val="22"/>
          <w:szCs w:val="22"/>
        </w:rPr>
        <w:t xml:space="preserve"> under </w:t>
      </w:r>
      <w:r w:rsidR="004C0309" w:rsidRPr="00CC0CB8">
        <w:rPr>
          <w:rFonts w:asciiTheme="minorHAnsi" w:hAnsiTheme="minorHAnsi" w:cstheme="minorHAnsi"/>
          <w:sz w:val="22"/>
          <w:szCs w:val="22"/>
        </w:rPr>
        <w:t>Section 163 of the Income Tax Act 2023</w:t>
      </w:r>
      <w:r w:rsidRPr="00CC0CB8">
        <w:rPr>
          <w:rFonts w:asciiTheme="minorHAnsi" w:hAnsiTheme="minorHAnsi" w:cstheme="minorHAnsi"/>
          <w:sz w:val="22"/>
          <w:szCs w:val="22"/>
        </w:rPr>
        <w:t xml:space="preserve"> often acts as a minimum tax, creating significant liquidity challenges for businesses and leading to a low share of direct tax revenue, which currently stands at approximately 33% of the National Board of </w:t>
      </w:r>
      <w:r w:rsidRPr="00CC0CB8">
        <w:rPr>
          <w:rFonts w:asciiTheme="minorHAnsi" w:hAnsiTheme="minorHAnsi" w:cstheme="minorHAnsi"/>
          <w:sz w:val="22"/>
          <w:szCs w:val="22"/>
        </w:rPr>
        <w:lastRenderedPageBreak/>
        <w:t>Revenue (NBR) revenue. Additionally, the existing refund process is slow and lacks a digital pathway, causing substantial delays.</w:t>
      </w:r>
    </w:p>
    <w:p w14:paraId="6F0DCC95" w14:textId="7B8B1427" w:rsidR="00E056E2" w:rsidRPr="00CC0CB8" w:rsidRDefault="00953D8E" w:rsidP="006366DD">
      <w:pPr>
        <w:pStyle w:val="NormalWeb"/>
        <w:rPr>
          <w:rFonts w:cstheme="minorHAnsi"/>
          <w:sz w:val="22"/>
          <w:szCs w:val="22"/>
        </w:rPr>
      </w:pPr>
      <w:r w:rsidRPr="00CC0CB8">
        <w:rPr>
          <w:rFonts w:asciiTheme="minorHAnsi" w:hAnsiTheme="minorHAnsi" w:cstheme="minorHAnsi"/>
          <w:sz w:val="22"/>
          <w:szCs w:val="22"/>
        </w:rPr>
        <w:t xml:space="preserve">BUILD’s research, which was presented by </w:t>
      </w:r>
      <w:r w:rsidR="002B4FD9" w:rsidRPr="00CC0CB8">
        <w:rPr>
          <w:rFonts w:asciiTheme="minorHAnsi" w:hAnsiTheme="minorHAnsi" w:cstheme="minorHAnsi"/>
          <w:sz w:val="22"/>
          <w:szCs w:val="22"/>
        </w:rPr>
        <w:t>Dr. Shadat, found that</w:t>
      </w:r>
      <w:r w:rsidR="006B7C95" w:rsidRPr="00CC0CB8">
        <w:rPr>
          <w:rFonts w:asciiTheme="minorHAnsi" w:hAnsiTheme="minorHAnsi" w:cstheme="minorHAnsi"/>
          <w:sz w:val="22"/>
          <w:szCs w:val="22"/>
        </w:rPr>
        <w:t xml:space="preserve"> policy inconsistency, minimum tax and SD have resulted in higher TTI beverage sector, which has reached 53.95% from 42% over last five years.</w:t>
      </w:r>
      <w:r w:rsidR="00704406" w:rsidRPr="00CC0CB8">
        <w:rPr>
          <w:rFonts w:asciiTheme="minorHAnsi" w:hAnsiTheme="minorHAnsi" w:cstheme="minorHAnsi"/>
          <w:sz w:val="22"/>
          <w:szCs w:val="22"/>
        </w:rPr>
        <w:t xml:space="preserve"> </w:t>
      </w:r>
      <w:r w:rsidR="003259BE" w:rsidRPr="00CC0CB8">
        <w:rPr>
          <w:rFonts w:asciiTheme="minorHAnsi" w:hAnsiTheme="minorHAnsi" w:cstheme="minorHAnsi"/>
          <w:sz w:val="22"/>
          <w:szCs w:val="22"/>
        </w:rPr>
        <w:t xml:space="preserve"> </w:t>
      </w:r>
      <w:r w:rsidR="00C55878" w:rsidRPr="00CC0CB8">
        <w:rPr>
          <w:rFonts w:asciiTheme="minorHAnsi" w:hAnsiTheme="minorHAnsi" w:cstheme="minorHAnsi"/>
          <w:sz w:val="22"/>
          <w:szCs w:val="22"/>
        </w:rPr>
        <w:t xml:space="preserve">Only </w:t>
      </w:r>
      <w:r w:rsidR="00E056E2" w:rsidRPr="00E056E2">
        <w:rPr>
          <w:rFonts w:cstheme="minorHAnsi"/>
          <w:sz w:val="22"/>
          <w:szCs w:val="22"/>
        </w:rPr>
        <w:t>SD</w:t>
      </w:r>
      <w:r w:rsidR="00C55878" w:rsidRPr="00CC0CB8">
        <w:rPr>
          <w:rFonts w:cstheme="minorHAnsi"/>
          <w:sz w:val="22"/>
          <w:szCs w:val="22"/>
        </w:rPr>
        <w:t xml:space="preserve"> has been</w:t>
      </w:r>
      <w:r w:rsidR="00E056E2" w:rsidRPr="00E056E2">
        <w:rPr>
          <w:rFonts w:cstheme="minorHAnsi"/>
          <w:sz w:val="22"/>
          <w:szCs w:val="22"/>
        </w:rPr>
        <w:t xml:space="preserve"> increased to 30% in 2024</w:t>
      </w:r>
      <w:r w:rsidR="0089781E" w:rsidRPr="00CC0CB8">
        <w:rPr>
          <w:rFonts w:cstheme="minorHAnsi"/>
          <w:sz w:val="22"/>
          <w:szCs w:val="22"/>
        </w:rPr>
        <w:t xml:space="preserve"> from 15% in 2021</w:t>
      </w:r>
      <w:r w:rsidR="00E056E2" w:rsidRPr="00E056E2">
        <w:rPr>
          <w:rFonts w:cstheme="minorHAnsi"/>
          <w:sz w:val="22"/>
          <w:szCs w:val="22"/>
        </w:rPr>
        <w:t>,</w:t>
      </w:r>
      <w:r w:rsidR="0089781E" w:rsidRPr="00CC0CB8">
        <w:rPr>
          <w:rFonts w:cstheme="minorHAnsi"/>
          <w:sz w:val="22"/>
          <w:szCs w:val="22"/>
        </w:rPr>
        <w:t xml:space="preserve"> which</w:t>
      </w:r>
      <w:r w:rsidR="00E056E2" w:rsidRPr="00E056E2">
        <w:rPr>
          <w:rFonts w:cstheme="minorHAnsi"/>
          <w:sz w:val="22"/>
          <w:szCs w:val="22"/>
        </w:rPr>
        <w:t xml:space="preserve"> </w:t>
      </w:r>
      <w:r w:rsidR="0089781E" w:rsidRPr="00CC0CB8">
        <w:rPr>
          <w:rFonts w:cstheme="minorHAnsi"/>
          <w:sz w:val="22"/>
          <w:szCs w:val="22"/>
        </w:rPr>
        <w:t xml:space="preserve">is </w:t>
      </w:r>
      <w:r w:rsidR="00E056E2" w:rsidRPr="00E056E2">
        <w:rPr>
          <w:rFonts w:cstheme="minorHAnsi"/>
          <w:sz w:val="22"/>
          <w:szCs w:val="22"/>
        </w:rPr>
        <w:t>highest in the region.</w:t>
      </w:r>
      <w:r w:rsidR="00B71EAC" w:rsidRPr="00CC0CB8">
        <w:rPr>
          <w:rFonts w:cstheme="minorHAnsi"/>
          <w:sz w:val="22"/>
          <w:szCs w:val="22"/>
        </w:rPr>
        <w:t xml:space="preserve"> </w:t>
      </w:r>
      <w:r w:rsidR="00E056E2" w:rsidRPr="00E056E2">
        <w:rPr>
          <w:rFonts w:cstheme="minorHAnsi"/>
          <w:sz w:val="22"/>
          <w:szCs w:val="22"/>
        </w:rPr>
        <w:t>Minimum income tax raised from 0.6% to 3% — a 5x increase in one year.</w:t>
      </w:r>
      <w:r w:rsidR="0089781E" w:rsidRPr="00CC0CB8">
        <w:rPr>
          <w:rFonts w:cstheme="minorHAnsi"/>
          <w:sz w:val="22"/>
          <w:szCs w:val="22"/>
        </w:rPr>
        <w:t xml:space="preserve"> </w:t>
      </w:r>
      <w:r w:rsidR="002C512A" w:rsidRPr="00CC0CB8">
        <w:rPr>
          <w:rFonts w:asciiTheme="minorHAnsi" w:hAnsiTheme="minorHAnsi" w:cstheme="minorHAnsi"/>
          <w:sz w:val="22"/>
          <w:szCs w:val="22"/>
        </w:rPr>
        <w:t>Th</w:t>
      </w:r>
      <w:r w:rsidR="0089781E" w:rsidRPr="00CC0CB8">
        <w:rPr>
          <w:rFonts w:asciiTheme="minorHAnsi" w:hAnsiTheme="minorHAnsi" w:cstheme="minorHAnsi"/>
          <w:sz w:val="22"/>
          <w:szCs w:val="22"/>
        </w:rPr>
        <w:t>e</w:t>
      </w:r>
      <w:r w:rsidR="002C512A" w:rsidRPr="00CC0CB8">
        <w:rPr>
          <w:rFonts w:asciiTheme="minorHAnsi" w:hAnsiTheme="minorHAnsi" w:cstheme="minorHAnsi"/>
          <w:sz w:val="22"/>
          <w:szCs w:val="22"/>
        </w:rPr>
        <w:t xml:space="preserve"> sector’s </w:t>
      </w:r>
      <w:r w:rsidR="00E056E2" w:rsidRPr="00E056E2">
        <w:rPr>
          <w:rFonts w:cstheme="minorHAnsi"/>
          <w:sz w:val="22"/>
          <w:szCs w:val="22"/>
        </w:rPr>
        <w:t>revenue dropped over 20% YoY due to higher tax burden.</w:t>
      </w:r>
    </w:p>
    <w:p w14:paraId="06AB49FE" w14:textId="4FBB25ED" w:rsidR="000B624A" w:rsidRPr="00CC0CB8" w:rsidRDefault="00423453" w:rsidP="006366DD">
      <w:pPr>
        <w:pStyle w:val="NormalWeb"/>
        <w:rPr>
          <w:rFonts w:asciiTheme="minorHAnsi" w:hAnsiTheme="minorHAnsi" w:cstheme="minorHAnsi"/>
          <w:sz w:val="22"/>
          <w:szCs w:val="22"/>
        </w:rPr>
      </w:pPr>
      <w:r w:rsidRPr="00CC0CB8">
        <w:rPr>
          <w:rFonts w:asciiTheme="minorHAnsi" w:hAnsiTheme="minorHAnsi" w:cstheme="minorHAnsi"/>
          <w:sz w:val="22"/>
          <w:szCs w:val="22"/>
        </w:rPr>
        <w:t>H</w:t>
      </w:r>
      <w:r w:rsidR="00685777" w:rsidRPr="00CC0CB8">
        <w:rPr>
          <w:rFonts w:asciiTheme="minorHAnsi" w:hAnsiTheme="minorHAnsi" w:cstheme="minorHAnsi"/>
          <w:sz w:val="22"/>
          <w:szCs w:val="22"/>
        </w:rPr>
        <w:t>is</w:t>
      </w:r>
      <w:r w:rsidRPr="00CC0CB8">
        <w:rPr>
          <w:rFonts w:asciiTheme="minorHAnsi" w:hAnsiTheme="minorHAnsi" w:cstheme="minorHAnsi"/>
          <w:sz w:val="22"/>
          <w:szCs w:val="22"/>
        </w:rPr>
        <w:t xml:space="preserve"> presentation </w:t>
      </w:r>
      <w:r w:rsidR="00685777" w:rsidRPr="00CC0CB8">
        <w:rPr>
          <w:rFonts w:asciiTheme="minorHAnsi" w:hAnsiTheme="minorHAnsi" w:cstheme="minorHAnsi"/>
          <w:sz w:val="22"/>
          <w:szCs w:val="22"/>
        </w:rPr>
        <w:t>outlined a</w:t>
      </w:r>
      <w:r w:rsidRPr="00CC0CB8">
        <w:rPr>
          <w:rFonts w:asciiTheme="minorHAnsi" w:hAnsiTheme="minorHAnsi" w:cstheme="minorHAnsi"/>
          <w:sz w:val="22"/>
          <w:szCs w:val="22"/>
        </w:rPr>
        <w:t xml:space="preserve"> three-phase appr</w:t>
      </w:r>
      <w:r w:rsidR="00685777" w:rsidRPr="00CC0CB8">
        <w:rPr>
          <w:rFonts w:asciiTheme="minorHAnsi" w:hAnsiTheme="minorHAnsi" w:cstheme="minorHAnsi"/>
          <w:sz w:val="22"/>
          <w:szCs w:val="22"/>
        </w:rPr>
        <w:t>oach to</w:t>
      </w:r>
      <w:r w:rsidR="006366DD" w:rsidRPr="00CC0CB8">
        <w:rPr>
          <w:rFonts w:asciiTheme="minorHAnsi" w:hAnsiTheme="minorHAnsi" w:cstheme="minorHAnsi"/>
          <w:sz w:val="22"/>
          <w:szCs w:val="22"/>
        </w:rPr>
        <w:t xml:space="preserve"> combat these challenges</w:t>
      </w:r>
      <w:r w:rsidR="00B53C9F" w:rsidRPr="00CC0CB8">
        <w:rPr>
          <w:rFonts w:asciiTheme="minorHAnsi" w:hAnsiTheme="minorHAnsi" w:cstheme="minorHAnsi"/>
          <w:sz w:val="22"/>
          <w:szCs w:val="22"/>
        </w:rPr>
        <w:t>.</w:t>
      </w:r>
      <w:r w:rsidR="006366DD" w:rsidRPr="00CC0CB8">
        <w:rPr>
          <w:rFonts w:asciiTheme="minorHAnsi" w:hAnsiTheme="minorHAnsi" w:cstheme="minorHAnsi"/>
          <w:sz w:val="22"/>
          <w:szCs w:val="22"/>
        </w:rPr>
        <w:t xml:space="preserve"> Immedi</w:t>
      </w:r>
      <w:r w:rsidR="00AE0BF1" w:rsidRPr="00CC0CB8">
        <w:rPr>
          <w:rFonts w:asciiTheme="minorHAnsi" w:hAnsiTheme="minorHAnsi" w:cstheme="minorHAnsi"/>
          <w:sz w:val="22"/>
          <w:szCs w:val="22"/>
        </w:rPr>
        <w:t>ate Action:</w:t>
      </w:r>
      <w:r w:rsidR="006366DD" w:rsidRPr="00CC0CB8">
        <w:rPr>
          <w:rFonts w:asciiTheme="minorHAnsi" w:hAnsiTheme="minorHAnsi" w:cstheme="minorHAnsi"/>
          <w:sz w:val="22"/>
          <w:szCs w:val="22"/>
        </w:rPr>
        <w:t xml:space="preserve"> </w:t>
      </w:r>
      <w:r w:rsidR="00F03F73" w:rsidRPr="00CC0CB8">
        <w:rPr>
          <w:rFonts w:asciiTheme="minorHAnsi" w:hAnsiTheme="minorHAnsi" w:cstheme="minorHAnsi"/>
          <w:sz w:val="22"/>
          <w:szCs w:val="22"/>
        </w:rPr>
        <w:t>I</w:t>
      </w:r>
      <w:r w:rsidR="006366DD" w:rsidRPr="00CC0CB8">
        <w:rPr>
          <w:rFonts w:asciiTheme="minorHAnsi" w:hAnsiTheme="minorHAnsi" w:cstheme="minorHAnsi"/>
          <w:sz w:val="22"/>
          <w:szCs w:val="22"/>
        </w:rPr>
        <w:t>mmediate introduction of a board-prescribed refund form (IT-RFD-01) and a circular to clarify the distinction between adjustable and final withholdings.</w:t>
      </w:r>
      <w:r w:rsidR="00DD7C59" w:rsidRPr="00CC0CB8">
        <w:rPr>
          <w:rFonts w:asciiTheme="minorHAnsi" w:hAnsiTheme="minorHAnsi" w:cstheme="minorHAnsi"/>
          <w:sz w:val="22"/>
          <w:szCs w:val="22"/>
        </w:rPr>
        <w:t xml:space="preserve"> </w:t>
      </w:r>
      <w:r w:rsidR="006366DD" w:rsidRPr="00CC0CB8">
        <w:rPr>
          <w:rFonts w:asciiTheme="minorHAnsi" w:hAnsiTheme="minorHAnsi" w:cstheme="minorHAnsi"/>
          <w:sz w:val="22"/>
          <w:szCs w:val="22"/>
        </w:rPr>
        <w:t>Medium-Term Goals: This phase includes the development of a fully automated TDS e-reporting and e-refund portal. The system would incorporate risk-based verification, aiming to process low-risk claims within 30 working days.</w:t>
      </w:r>
      <w:r w:rsidR="006A7228" w:rsidRPr="00CC0CB8">
        <w:rPr>
          <w:rFonts w:asciiTheme="minorHAnsi" w:hAnsiTheme="minorHAnsi" w:cstheme="minorHAnsi"/>
          <w:sz w:val="22"/>
          <w:szCs w:val="22"/>
        </w:rPr>
        <w:t xml:space="preserve"> </w:t>
      </w:r>
      <w:r w:rsidR="006366DD" w:rsidRPr="00CC0CB8">
        <w:rPr>
          <w:rFonts w:asciiTheme="minorHAnsi" w:hAnsiTheme="minorHAnsi" w:cstheme="minorHAnsi"/>
          <w:sz w:val="22"/>
          <w:szCs w:val="22"/>
        </w:rPr>
        <w:t xml:space="preserve">Longer-Term Strategy: </w:t>
      </w:r>
      <w:r w:rsidR="00B833FE" w:rsidRPr="00CC0CB8">
        <w:rPr>
          <w:rFonts w:asciiTheme="minorHAnsi" w:hAnsiTheme="minorHAnsi" w:cstheme="minorHAnsi"/>
          <w:sz w:val="22"/>
          <w:szCs w:val="22"/>
        </w:rPr>
        <w:t>P</w:t>
      </w:r>
      <w:r w:rsidR="006366DD" w:rsidRPr="00CC0CB8">
        <w:rPr>
          <w:rFonts w:asciiTheme="minorHAnsi" w:hAnsiTheme="minorHAnsi" w:cstheme="minorHAnsi"/>
          <w:sz w:val="22"/>
          <w:szCs w:val="22"/>
        </w:rPr>
        <w:t>hasing out the broad minimum-tax treatment of Section 163. This would involve recalibrating TDS rates based on sector profitability and broadening the tax base to ensure stable revenue collection.</w:t>
      </w:r>
    </w:p>
    <w:p w14:paraId="6CF18F16" w14:textId="247AF797" w:rsidR="00F95D1C" w:rsidRPr="00CC0CB8" w:rsidRDefault="00F95D1C" w:rsidP="00F95D1C">
      <w:pPr>
        <w:pStyle w:val="NormalWeb"/>
        <w:rPr>
          <w:rFonts w:asciiTheme="minorHAnsi" w:hAnsiTheme="minorHAnsi" w:cstheme="minorHAnsi"/>
          <w:sz w:val="22"/>
          <w:szCs w:val="22"/>
        </w:rPr>
      </w:pPr>
      <w:r w:rsidRPr="00CC0CB8">
        <w:rPr>
          <w:rFonts w:asciiTheme="minorHAnsi" w:hAnsiTheme="minorHAnsi" w:cstheme="minorHAnsi"/>
          <w:sz w:val="22"/>
          <w:szCs w:val="22"/>
        </w:rPr>
        <w:t xml:space="preserve">Ali Zaman, President of the Small and Medium Enterprises (SMEs) Owners Association, noted that while SMEs previously received TDS refunds by check, the current process has become significantly more complex. </w:t>
      </w:r>
    </w:p>
    <w:p w14:paraId="0A0B2A71" w14:textId="77777777" w:rsidR="00F95D1C" w:rsidRPr="00CC0CB8" w:rsidRDefault="00F95D1C" w:rsidP="00F95D1C">
      <w:pPr>
        <w:pStyle w:val="NormalWeb"/>
        <w:rPr>
          <w:rFonts w:asciiTheme="minorHAnsi" w:hAnsiTheme="minorHAnsi" w:cstheme="minorHAnsi"/>
          <w:sz w:val="22"/>
          <w:szCs w:val="22"/>
        </w:rPr>
      </w:pPr>
      <w:r w:rsidRPr="00CC0CB8">
        <w:rPr>
          <w:rFonts w:asciiTheme="minorHAnsi" w:hAnsiTheme="minorHAnsi" w:cstheme="minorHAnsi"/>
          <w:sz w:val="22"/>
          <w:szCs w:val="22"/>
        </w:rPr>
        <w:t>Md. Hafizur Rahman, former Director General of the WTO Cell at the Ministry of Commerce, stressed the need to establish tax justice. He suggested that different types of taxes should be introduced to accommodate the diverse range of taxpayers in the country.</w:t>
      </w:r>
    </w:p>
    <w:p w14:paraId="6967F6CF" w14:textId="1884B276" w:rsidR="00F95D1C" w:rsidRPr="00CC0CB8" w:rsidRDefault="00F95D1C" w:rsidP="00F95D1C">
      <w:pPr>
        <w:pStyle w:val="NormalWeb"/>
        <w:rPr>
          <w:rFonts w:asciiTheme="minorHAnsi" w:hAnsiTheme="minorHAnsi" w:cstheme="minorHAnsi"/>
          <w:sz w:val="22"/>
          <w:szCs w:val="22"/>
        </w:rPr>
      </w:pPr>
      <w:r w:rsidRPr="00CC0CB8">
        <w:rPr>
          <w:rFonts w:asciiTheme="minorHAnsi" w:hAnsiTheme="minorHAnsi" w:cstheme="minorHAnsi"/>
          <w:sz w:val="22"/>
          <w:szCs w:val="22"/>
        </w:rPr>
        <w:t>Mr. Shadab Ahmed Khan, Managing Director of Coca-Cola Bangladesh Beverages, emphasized the negative impact of policy inconsistencies. He stated that while Bangladesh is an attractive place for investors, complex tax policies are a deterrent. As an example, he noted that the Total Tax Incidence (TTI)</w:t>
      </w:r>
      <w:r w:rsidR="005B1597">
        <w:rPr>
          <w:rFonts w:asciiTheme="minorHAnsi" w:hAnsiTheme="minorHAnsi" w:cstheme="minorHAnsi"/>
          <w:sz w:val="22"/>
          <w:szCs w:val="22"/>
        </w:rPr>
        <w:t xml:space="preserve"> beverage sector</w:t>
      </w:r>
      <w:r w:rsidRPr="00CC0CB8">
        <w:rPr>
          <w:rFonts w:asciiTheme="minorHAnsi" w:hAnsiTheme="minorHAnsi" w:cstheme="minorHAnsi"/>
          <w:sz w:val="22"/>
          <w:szCs w:val="22"/>
        </w:rPr>
        <w:t xml:space="preserve"> has increased from 42% in 2016 to 54% due to these inconsistencies.</w:t>
      </w:r>
    </w:p>
    <w:p w14:paraId="54744129" w14:textId="77777777" w:rsidR="00F95D1C" w:rsidRPr="00CC0CB8" w:rsidRDefault="00F95D1C" w:rsidP="00F95D1C">
      <w:pPr>
        <w:pStyle w:val="NormalWeb"/>
        <w:rPr>
          <w:rFonts w:asciiTheme="minorHAnsi" w:hAnsiTheme="minorHAnsi" w:cstheme="minorHAnsi"/>
          <w:sz w:val="22"/>
          <w:szCs w:val="22"/>
        </w:rPr>
      </w:pPr>
      <w:r w:rsidRPr="00CC0CB8">
        <w:rPr>
          <w:rFonts w:asciiTheme="minorHAnsi" w:hAnsiTheme="minorHAnsi" w:cstheme="minorHAnsi"/>
          <w:sz w:val="22"/>
          <w:szCs w:val="22"/>
        </w:rPr>
        <w:t>Mr. Snehasish Barua FCA, Partner at Snehasish Mahmud &amp; Co, referred to the finance ordinance, which indicates the NBR’s intention to gradually reduce the TDS rate. He believes that the existing refund mechanism can be made more effective through specific rules, which are currently pending. According to him, this would help minimize the issue of non-adjustability. He added that an increase in tax revenue is contingent on an increase in VAT revenue.</w:t>
      </w:r>
    </w:p>
    <w:p w14:paraId="0AF49332" w14:textId="77777777" w:rsidR="00F95D1C" w:rsidRPr="00CC0CB8" w:rsidRDefault="00F95D1C" w:rsidP="00F95D1C">
      <w:pPr>
        <w:pStyle w:val="NormalWeb"/>
        <w:rPr>
          <w:rFonts w:asciiTheme="minorHAnsi" w:hAnsiTheme="minorHAnsi" w:cstheme="minorHAnsi"/>
          <w:sz w:val="22"/>
          <w:szCs w:val="22"/>
        </w:rPr>
      </w:pPr>
      <w:r w:rsidRPr="00CC0CB8">
        <w:rPr>
          <w:rFonts w:asciiTheme="minorHAnsi" w:hAnsiTheme="minorHAnsi" w:cstheme="minorHAnsi"/>
          <w:sz w:val="22"/>
          <w:szCs w:val="22"/>
        </w:rPr>
        <w:t>Dr. Muhammad Abdul Mazid, former Chairman of the NBR, stressed that both the NBR and taxpayers must be sincere in their efforts to increase the tax-to-GDP ratio. He urged large associations to invest at least 2% of their revenue into research.</w:t>
      </w:r>
    </w:p>
    <w:p w14:paraId="63BF9BB6" w14:textId="77777777" w:rsidR="00F95D1C" w:rsidRPr="00CC0CB8" w:rsidRDefault="00F95D1C" w:rsidP="00F95D1C">
      <w:pPr>
        <w:pStyle w:val="NormalWeb"/>
        <w:rPr>
          <w:rFonts w:asciiTheme="minorHAnsi" w:hAnsiTheme="minorHAnsi" w:cstheme="minorHAnsi"/>
          <w:sz w:val="22"/>
          <w:szCs w:val="22"/>
        </w:rPr>
      </w:pPr>
      <w:r w:rsidRPr="00CC0CB8">
        <w:rPr>
          <w:rFonts w:asciiTheme="minorHAnsi" w:hAnsiTheme="minorHAnsi" w:cstheme="minorHAnsi"/>
          <w:sz w:val="22"/>
          <w:szCs w:val="22"/>
        </w:rPr>
        <w:t>Mr. AKM Badiul Alam, Member (Income Tax Policy) at the NBR, expressed appreciation for the refund workflow presented by the keynote speaker.</w:t>
      </w:r>
    </w:p>
    <w:p w14:paraId="48C577F3" w14:textId="77777777" w:rsidR="00F95D1C" w:rsidRPr="00CC0CB8" w:rsidRDefault="00F95D1C" w:rsidP="00F95D1C">
      <w:pPr>
        <w:pStyle w:val="NormalWeb"/>
        <w:rPr>
          <w:rFonts w:asciiTheme="minorHAnsi" w:hAnsiTheme="minorHAnsi" w:cstheme="minorHAnsi"/>
          <w:sz w:val="22"/>
          <w:szCs w:val="22"/>
        </w:rPr>
      </w:pPr>
      <w:r w:rsidRPr="00CC0CB8">
        <w:rPr>
          <w:rFonts w:asciiTheme="minorHAnsi" w:hAnsiTheme="minorHAnsi" w:cstheme="minorHAnsi"/>
          <w:sz w:val="22"/>
          <w:szCs w:val="22"/>
        </w:rPr>
        <w:t xml:space="preserve">In her closing remarks, Ferdaus Ara Begum, CEO of BUILD, highlighted a significant trend: the share of TDS in income tax revenue has risen from 84.6% to 87.4%. Conversely, the percentage of TDS refunds has decreased from 0.35% to 0.24% of the total TDS collected. She pointed out that this is happening </w:t>
      </w:r>
      <w:r w:rsidRPr="00CC0CB8">
        <w:rPr>
          <w:rFonts w:asciiTheme="minorHAnsi" w:hAnsiTheme="minorHAnsi" w:cstheme="minorHAnsi"/>
          <w:sz w:val="22"/>
          <w:szCs w:val="22"/>
        </w:rPr>
        <w:lastRenderedPageBreak/>
        <w:t>despite a clear policy provision to refund adjustable TDS with 10% interest and a separate instruction to directly transfer excess tax payments to beneficiaries' bank accounts.</w:t>
      </w:r>
    </w:p>
    <w:p w14:paraId="5A976F28" w14:textId="77777777" w:rsidR="00F95D1C" w:rsidRDefault="00F95D1C" w:rsidP="00F95D1C">
      <w:pPr>
        <w:pStyle w:val="NormalWeb"/>
        <w:rPr>
          <w:rFonts w:asciiTheme="minorHAnsi" w:hAnsiTheme="minorHAnsi" w:cstheme="minorHAnsi"/>
          <w:sz w:val="22"/>
          <w:szCs w:val="22"/>
        </w:rPr>
      </w:pPr>
      <w:r w:rsidRPr="00CC0CB8">
        <w:rPr>
          <w:rFonts w:asciiTheme="minorHAnsi" w:hAnsiTheme="minorHAnsi" w:cstheme="minorHAnsi"/>
          <w:sz w:val="22"/>
          <w:szCs w:val="22"/>
        </w:rPr>
        <w:t>Other participants who contributed to the open discussion included Md Abdul Matin, FCMA, MD, Security 360 Limited; Dr. A.K.M. Atiqul Haque, Joint Secretary, Ministry of Finance; Alimul Ahsan Chowdhury, President, Agricultural Machinery Manufacturer’s Association Bangladesh; Shankar Kumar Roy, ED, Bangladesh Cement Manufacturers Association; and M. S. Siddiqui, CEO, Bangla Chemical.</w:t>
      </w:r>
    </w:p>
    <w:p w14:paraId="1F8C15A7" w14:textId="77777777" w:rsidR="004A3C80" w:rsidRPr="00E80581" w:rsidRDefault="004A3C80" w:rsidP="004A3C80">
      <w:pPr>
        <w:spacing w:line="240" w:lineRule="auto"/>
        <w:contextualSpacing/>
        <w:jc w:val="both"/>
        <w:rPr>
          <w:rFonts w:cstheme="minorHAnsi"/>
          <w:bCs/>
          <w:color w:val="000000" w:themeColor="text1"/>
          <w:lang w:val="en-GB"/>
        </w:rPr>
      </w:pPr>
      <w:r w:rsidRPr="00E80581">
        <w:rPr>
          <w:rFonts w:cstheme="minorHAnsi"/>
          <w:bCs/>
          <w:color w:val="000000" w:themeColor="text1"/>
          <w:lang w:val="en-GB"/>
        </w:rPr>
        <w:t>Sincerely,</w:t>
      </w:r>
    </w:p>
    <w:p w14:paraId="5C275ED0" w14:textId="77777777" w:rsidR="004A3C80" w:rsidRDefault="004A3C80" w:rsidP="004A3C80">
      <w:pPr>
        <w:spacing w:line="240" w:lineRule="auto"/>
        <w:contextualSpacing/>
        <w:jc w:val="both"/>
        <w:rPr>
          <w:rStyle w:val="Strong"/>
          <w:rFonts w:eastAsia="Times New Roman" w:cstheme="minorHAnsi"/>
          <w:b w:val="0"/>
          <w:color w:val="000000" w:themeColor="text1"/>
          <w:lang w:val="en-GB"/>
        </w:rPr>
      </w:pPr>
    </w:p>
    <w:p w14:paraId="6D6D45C6" w14:textId="77777777" w:rsidR="004A3C80" w:rsidRPr="00E80581" w:rsidRDefault="004A3C80" w:rsidP="004A3C80">
      <w:pPr>
        <w:spacing w:line="240" w:lineRule="auto"/>
        <w:contextualSpacing/>
        <w:jc w:val="both"/>
        <w:rPr>
          <w:rStyle w:val="Strong"/>
          <w:rFonts w:eastAsia="Times New Roman" w:cstheme="minorHAnsi"/>
          <w:b w:val="0"/>
          <w:color w:val="000000" w:themeColor="text1"/>
          <w:lang w:val="en-GB"/>
        </w:rPr>
      </w:pPr>
      <w:r>
        <w:rPr>
          <w:rFonts w:eastAsia="Times New Roman" w:cstheme="minorHAnsi"/>
          <w:bCs/>
          <w:noProof/>
          <w:color w:val="000000" w:themeColor="text1"/>
          <w:lang w:val="en-GB"/>
          <w14:ligatures w14:val="standardContextual"/>
        </w:rPr>
        <w:drawing>
          <wp:inline distT="0" distB="0" distL="0" distR="0" wp14:anchorId="5F414568" wp14:editId="661093BA">
            <wp:extent cx="733425" cy="447675"/>
            <wp:effectExtent l="0" t="0" r="9525" b="9525"/>
            <wp:docPr id="14847456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4745618" name="Picture 1484745618"/>
                    <pic:cNvPicPr/>
                  </pic:nvPicPr>
                  <pic:blipFill>
                    <a:blip r:embed="rId7">
                      <a:extLst>
                        <a:ext uri="{28A0092B-C50C-407E-A947-70E740481C1C}">
                          <a14:useLocalDpi xmlns:a14="http://schemas.microsoft.com/office/drawing/2010/main" val="0"/>
                        </a:ext>
                      </a:extLst>
                    </a:blip>
                    <a:stretch>
                      <a:fillRect/>
                    </a:stretch>
                  </pic:blipFill>
                  <pic:spPr>
                    <a:xfrm>
                      <a:off x="0" y="0"/>
                      <a:ext cx="733425" cy="447675"/>
                    </a:xfrm>
                    <a:prstGeom prst="rect">
                      <a:avLst/>
                    </a:prstGeom>
                  </pic:spPr>
                </pic:pic>
              </a:graphicData>
            </a:graphic>
          </wp:inline>
        </w:drawing>
      </w:r>
    </w:p>
    <w:p w14:paraId="2754F8FF" w14:textId="77777777" w:rsidR="00AC46D4" w:rsidRDefault="004A3C80" w:rsidP="004A3C80">
      <w:pPr>
        <w:pStyle w:val="NormalWeb"/>
        <w:rPr>
          <w:rFonts w:cstheme="minorHAnsi"/>
          <w:bCs/>
          <w:color w:val="000000" w:themeColor="text1"/>
          <w:lang w:val="en-GB"/>
        </w:rPr>
      </w:pPr>
      <w:r w:rsidRPr="00E80581">
        <w:rPr>
          <w:rStyle w:val="Strong"/>
          <w:rFonts w:cstheme="minorHAnsi"/>
          <w:color w:val="000000" w:themeColor="text1"/>
          <w:lang w:val="en-GB"/>
        </w:rPr>
        <w:t xml:space="preserve">Ferdaus Ara Begum </w:t>
      </w:r>
      <w:r w:rsidRPr="00E80581">
        <w:rPr>
          <w:rFonts w:ascii="Cambria Math" w:hAnsi="Cambria Math" w:cs="Cambria Math"/>
          <w:bCs/>
          <w:iCs/>
          <w:color w:val="000000" w:themeColor="text1"/>
          <w:lang w:val="en-GB"/>
        </w:rPr>
        <w:t>∣</w:t>
      </w:r>
      <w:r w:rsidRPr="00E80581">
        <w:rPr>
          <w:rFonts w:cstheme="minorHAnsi"/>
          <w:bCs/>
          <w:iCs/>
          <w:color w:val="000000" w:themeColor="text1"/>
          <w:lang w:val="en-GB"/>
        </w:rPr>
        <w:t xml:space="preserve"> CEO </w:t>
      </w:r>
      <w:r w:rsidRPr="00E80581">
        <w:rPr>
          <w:rFonts w:ascii="Cambria Math" w:hAnsi="Cambria Math" w:cs="Cambria Math"/>
          <w:bCs/>
          <w:iCs/>
          <w:color w:val="000000" w:themeColor="text1"/>
          <w:lang w:val="en-GB"/>
        </w:rPr>
        <w:t>∣</w:t>
      </w:r>
      <w:r w:rsidRPr="00E80581">
        <w:rPr>
          <w:rFonts w:cstheme="minorHAnsi"/>
          <w:bCs/>
          <w:iCs/>
          <w:color w:val="000000" w:themeColor="text1"/>
          <w:lang w:val="en-GB"/>
        </w:rPr>
        <w:t xml:space="preserve"> BUILD </w:t>
      </w:r>
      <w:r w:rsidRPr="00E80581">
        <w:rPr>
          <w:rFonts w:ascii="Cambria Math" w:hAnsi="Cambria Math" w:cs="Cambria Math"/>
          <w:bCs/>
          <w:iCs/>
          <w:color w:val="000000" w:themeColor="text1"/>
          <w:lang w:val="en-GB"/>
        </w:rPr>
        <w:t>∣</w:t>
      </w:r>
      <w:r w:rsidRPr="00E80581">
        <w:rPr>
          <w:rFonts w:cstheme="minorHAnsi"/>
          <w:bCs/>
          <w:color w:val="000000" w:themeColor="text1"/>
          <w:lang w:val="en-GB"/>
        </w:rPr>
        <w:t xml:space="preserve"> Mobile: 01714102994</w:t>
      </w:r>
    </w:p>
    <w:p w14:paraId="0637A39B" w14:textId="2D155B1B" w:rsidR="004A3C80" w:rsidRPr="00CC0CB8" w:rsidRDefault="004A3C80" w:rsidP="004A3C80">
      <w:pPr>
        <w:pStyle w:val="NormalWeb"/>
        <w:rPr>
          <w:rFonts w:asciiTheme="minorHAnsi" w:hAnsiTheme="minorHAnsi" w:cstheme="minorHAnsi"/>
          <w:sz w:val="22"/>
          <w:szCs w:val="22"/>
        </w:rPr>
      </w:pPr>
      <w:r w:rsidRPr="00E80581">
        <w:rPr>
          <w:rFonts w:cstheme="minorHAnsi"/>
          <w:bCs/>
          <w:iCs/>
          <w:color w:val="000000" w:themeColor="text1"/>
          <w:lang w:val="en-GB"/>
        </w:rPr>
        <w:t xml:space="preserve">Email: </w:t>
      </w:r>
      <w:hyperlink r:id="rId8" w:history="1">
        <w:r w:rsidR="00AC46D4">
          <w:rPr>
            <w:rStyle w:val="Hyperlink"/>
            <w:rFonts w:ascii="Nikosh" w:eastAsiaTheme="majorEastAsia" w:hAnsi="Nikosh" w:cs="Nikosh"/>
          </w:rPr>
          <w:t>ferdaus.ara.begum@buildbd.org</w:t>
        </w:r>
      </w:hyperlink>
      <w:r w:rsidR="00AC46D4">
        <w:rPr>
          <w:rFonts w:hint="cs"/>
          <w:cs/>
        </w:rPr>
        <w:t xml:space="preserve"> </w:t>
      </w:r>
      <w:r w:rsidRPr="00E80581">
        <w:rPr>
          <w:rFonts w:ascii="Cambria Math" w:hAnsi="Cambria Math" w:cs="Cambria Math"/>
          <w:bCs/>
          <w:iCs/>
          <w:color w:val="000000" w:themeColor="text1"/>
          <w:lang w:val="en-GB"/>
        </w:rPr>
        <w:t>∣</w:t>
      </w:r>
      <w:r w:rsidRPr="00E80581">
        <w:rPr>
          <w:rFonts w:cstheme="minorHAnsi"/>
          <w:bCs/>
          <w:iCs/>
          <w:color w:val="000000" w:themeColor="text1"/>
          <w:lang w:val="en-GB"/>
        </w:rPr>
        <w:t xml:space="preserve"> </w:t>
      </w:r>
      <w:hyperlink r:id="rId9" w:history="1">
        <w:r w:rsidRPr="00E80581">
          <w:rPr>
            <w:rStyle w:val="Hyperlink"/>
            <w:rFonts w:cstheme="minorHAnsi"/>
            <w:bCs/>
            <w:iCs/>
            <w:lang w:val="en-GB"/>
          </w:rPr>
          <w:t>www.buildbd.org</w:t>
        </w:r>
      </w:hyperlink>
    </w:p>
    <w:p w14:paraId="2B05DC4B" w14:textId="32B5A38E" w:rsidR="00471FFE" w:rsidRPr="00CC0CB8" w:rsidRDefault="00471FFE">
      <w:pPr>
        <w:rPr>
          <w:rFonts w:cstheme="minorHAnsi"/>
          <w:cs/>
          <w:lang w:bidi="bn-IN"/>
        </w:rPr>
      </w:pPr>
    </w:p>
    <w:sectPr w:rsidR="00471FFE" w:rsidRPr="00CC0CB8">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566F17" w14:textId="77777777" w:rsidR="00927F3E" w:rsidRDefault="00927F3E" w:rsidP="00471FFE">
      <w:pPr>
        <w:spacing w:after="0" w:line="240" w:lineRule="auto"/>
      </w:pPr>
      <w:r>
        <w:separator/>
      </w:r>
    </w:p>
  </w:endnote>
  <w:endnote w:type="continuationSeparator" w:id="0">
    <w:p w14:paraId="25A8D16E" w14:textId="77777777" w:rsidR="00927F3E" w:rsidRDefault="00927F3E" w:rsidP="00471F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Nikosh">
    <w:panose1 w:val="02000000000000000000"/>
    <w:charset w:val="00"/>
    <w:family w:val="auto"/>
    <w:pitch w:val="variable"/>
    <w:sig w:usb0="0001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BC673A" w14:textId="77777777" w:rsidR="00927F3E" w:rsidRDefault="00927F3E" w:rsidP="00471FFE">
      <w:pPr>
        <w:spacing w:after="0" w:line="240" w:lineRule="auto"/>
      </w:pPr>
      <w:r>
        <w:separator/>
      </w:r>
    </w:p>
  </w:footnote>
  <w:footnote w:type="continuationSeparator" w:id="0">
    <w:p w14:paraId="3193D30B" w14:textId="77777777" w:rsidR="00927F3E" w:rsidRDefault="00927F3E" w:rsidP="00471F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C48B0" w14:textId="19E301EA" w:rsidR="00471FFE" w:rsidRDefault="00471FFE">
    <w:pPr>
      <w:pStyle w:val="Header"/>
    </w:pPr>
    <w:r w:rsidRPr="00936ED1">
      <w:rPr>
        <w:noProof/>
      </w:rPr>
      <w:drawing>
        <wp:inline distT="0" distB="0" distL="0" distR="0" wp14:anchorId="34CD32CB" wp14:editId="3F2265D8">
          <wp:extent cx="5804535" cy="723265"/>
          <wp:effectExtent l="0" t="0" r="0" b="0"/>
          <wp:docPr id="2" name="Picture 1" descr="A picture containing 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picture containing background patter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04535" cy="72326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2F48FC"/>
    <w:multiLevelType w:val="hybridMultilevel"/>
    <w:tmpl w:val="803E5C8E"/>
    <w:lvl w:ilvl="0" w:tplc="394CA7B4">
      <w:start w:val="1"/>
      <w:numFmt w:val="bullet"/>
      <w:lvlText w:val="•"/>
      <w:lvlJc w:val="left"/>
      <w:pPr>
        <w:tabs>
          <w:tab w:val="num" w:pos="720"/>
        </w:tabs>
        <w:ind w:left="720" w:hanging="360"/>
      </w:pPr>
      <w:rPr>
        <w:rFonts w:ascii="Arial" w:hAnsi="Arial" w:hint="default"/>
      </w:rPr>
    </w:lvl>
    <w:lvl w:ilvl="1" w:tplc="24CC2934" w:tentative="1">
      <w:start w:val="1"/>
      <w:numFmt w:val="bullet"/>
      <w:lvlText w:val="•"/>
      <w:lvlJc w:val="left"/>
      <w:pPr>
        <w:tabs>
          <w:tab w:val="num" w:pos="1440"/>
        </w:tabs>
        <w:ind w:left="1440" w:hanging="360"/>
      </w:pPr>
      <w:rPr>
        <w:rFonts w:ascii="Arial" w:hAnsi="Arial" w:hint="default"/>
      </w:rPr>
    </w:lvl>
    <w:lvl w:ilvl="2" w:tplc="2E0E4CC0" w:tentative="1">
      <w:start w:val="1"/>
      <w:numFmt w:val="bullet"/>
      <w:lvlText w:val="•"/>
      <w:lvlJc w:val="left"/>
      <w:pPr>
        <w:tabs>
          <w:tab w:val="num" w:pos="2160"/>
        </w:tabs>
        <w:ind w:left="2160" w:hanging="360"/>
      </w:pPr>
      <w:rPr>
        <w:rFonts w:ascii="Arial" w:hAnsi="Arial" w:hint="default"/>
      </w:rPr>
    </w:lvl>
    <w:lvl w:ilvl="3" w:tplc="F1C4B012" w:tentative="1">
      <w:start w:val="1"/>
      <w:numFmt w:val="bullet"/>
      <w:lvlText w:val="•"/>
      <w:lvlJc w:val="left"/>
      <w:pPr>
        <w:tabs>
          <w:tab w:val="num" w:pos="2880"/>
        </w:tabs>
        <w:ind w:left="2880" w:hanging="360"/>
      </w:pPr>
      <w:rPr>
        <w:rFonts w:ascii="Arial" w:hAnsi="Arial" w:hint="default"/>
      </w:rPr>
    </w:lvl>
    <w:lvl w:ilvl="4" w:tplc="47641736" w:tentative="1">
      <w:start w:val="1"/>
      <w:numFmt w:val="bullet"/>
      <w:lvlText w:val="•"/>
      <w:lvlJc w:val="left"/>
      <w:pPr>
        <w:tabs>
          <w:tab w:val="num" w:pos="3600"/>
        </w:tabs>
        <w:ind w:left="3600" w:hanging="360"/>
      </w:pPr>
      <w:rPr>
        <w:rFonts w:ascii="Arial" w:hAnsi="Arial" w:hint="default"/>
      </w:rPr>
    </w:lvl>
    <w:lvl w:ilvl="5" w:tplc="C1845FC0" w:tentative="1">
      <w:start w:val="1"/>
      <w:numFmt w:val="bullet"/>
      <w:lvlText w:val="•"/>
      <w:lvlJc w:val="left"/>
      <w:pPr>
        <w:tabs>
          <w:tab w:val="num" w:pos="4320"/>
        </w:tabs>
        <w:ind w:left="4320" w:hanging="360"/>
      </w:pPr>
      <w:rPr>
        <w:rFonts w:ascii="Arial" w:hAnsi="Arial" w:hint="default"/>
      </w:rPr>
    </w:lvl>
    <w:lvl w:ilvl="6" w:tplc="A5D8F390" w:tentative="1">
      <w:start w:val="1"/>
      <w:numFmt w:val="bullet"/>
      <w:lvlText w:val="•"/>
      <w:lvlJc w:val="left"/>
      <w:pPr>
        <w:tabs>
          <w:tab w:val="num" w:pos="5040"/>
        </w:tabs>
        <w:ind w:left="5040" w:hanging="360"/>
      </w:pPr>
      <w:rPr>
        <w:rFonts w:ascii="Arial" w:hAnsi="Arial" w:hint="default"/>
      </w:rPr>
    </w:lvl>
    <w:lvl w:ilvl="7" w:tplc="6D26EB3C" w:tentative="1">
      <w:start w:val="1"/>
      <w:numFmt w:val="bullet"/>
      <w:lvlText w:val="•"/>
      <w:lvlJc w:val="left"/>
      <w:pPr>
        <w:tabs>
          <w:tab w:val="num" w:pos="5760"/>
        </w:tabs>
        <w:ind w:left="5760" w:hanging="360"/>
      </w:pPr>
      <w:rPr>
        <w:rFonts w:ascii="Arial" w:hAnsi="Arial" w:hint="default"/>
      </w:rPr>
    </w:lvl>
    <w:lvl w:ilvl="8" w:tplc="1F9CF88C"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623D1A81"/>
    <w:multiLevelType w:val="multilevel"/>
    <w:tmpl w:val="F4400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B03038B"/>
    <w:multiLevelType w:val="hybridMultilevel"/>
    <w:tmpl w:val="274029EC"/>
    <w:lvl w:ilvl="0" w:tplc="B77EEA2C">
      <w:start w:val="1"/>
      <w:numFmt w:val="bullet"/>
      <w:lvlText w:val=""/>
      <w:lvlJc w:val="left"/>
      <w:pPr>
        <w:ind w:left="720" w:hanging="360"/>
      </w:pPr>
      <w:rPr>
        <w:rFonts w:ascii="Symbol" w:hAnsi="Symbol" w:hint="default"/>
        <w:b/>
        <w:bCs/>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79928343">
    <w:abstractNumId w:val="1"/>
  </w:num>
  <w:num w:numId="2" w16cid:durableId="1972202993">
    <w:abstractNumId w:val="2"/>
  </w:num>
  <w:num w:numId="3" w16cid:durableId="15090551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I1MzIxMjI0MLM0MLJQ0lEKTi0uzszPAykwqQUAWsWIfiwAAAA="/>
  </w:docVars>
  <w:rsids>
    <w:rsidRoot w:val="00B17ECA"/>
    <w:rsid w:val="000461BE"/>
    <w:rsid w:val="000507AC"/>
    <w:rsid w:val="00054362"/>
    <w:rsid w:val="00076D9C"/>
    <w:rsid w:val="000B624A"/>
    <w:rsid w:val="000D7429"/>
    <w:rsid w:val="000E1890"/>
    <w:rsid w:val="001018E0"/>
    <w:rsid w:val="00121B90"/>
    <w:rsid w:val="00135B4D"/>
    <w:rsid w:val="00151D05"/>
    <w:rsid w:val="001724DD"/>
    <w:rsid w:val="00174628"/>
    <w:rsid w:val="00191979"/>
    <w:rsid w:val="00192BC2"/>
    <w:rsid w:val="001A6413"/>
    <w:rsid w:val="001D1B3A"/>
    <w:rsid w:val="001D4531"/>
    <w:rsid w:val="001E0FB4"/>
    <w:rsid w:val="001F2AC3"/>
    <w:rsid w:val="002357CE"/>
    <w:rsid w:val="00245B40"/>
    <w:rsid w:val="00247869"/>
    <w:rsid w:val="00257AC3"/>
    <w:rsid w:val="0028054B"/>
    <w:rsid w:val="0028097E"/>
    <w:rsid w:val="002854B8"/>
    <w:rsid w:val="002A56EA"/>
    <w:rsid w:val="002B054C"/>
    <w:rsid w:val="002B3B22"/>
    <w:rsid w:val="002B4FD9"/>
    <w:rsid w:val="002C512A"/>
    <w:rsid w:val="002E7A97"/>
    <w:rsid w:val="0030684C"/>
    <w:rsid w:val="00315D4D"/>
    <w:rsid w:val="003259BE"/>
    <w:rsid w:val="00351061"/>
    <w:rsid w:val="00352827"/>
    <w:rsid w:val="003A0127"/>
    <w:rsid w:val="003A3803"/>
    <w:rsid w:val="003B0988"/>
    <w:rsid w:val="003C4A6B"/>
    <w:rsid w:val="003E111E"/>
    <w:rsid w:val="004025CC"/>
    <w:rsid w:val="00407628"/>
    <w:rsid w:val="00423453"/>
    <w:rsid w:val="00463C14"/>
    <w:rsid w:val="00471FFE"/>
    <w:rsid w:val="004861A2"/>
    <w:rsid w:val="00490ECC"/>
    <w:rsid w:val="004A32FD"/>
    <w:rsid w:val="004A3C80"/>
    <w:rsid w:val="004C0309"/>
    <w:rsid w:val="004E008B"/>
    <w:rsid w:val="004E2CCE"/>
    <w:rsid w:val="00527F17"/>
    <w:rsid w:val="005376F6"/>
    <w:rsid w:val="00545EB2"/>
    <w:rsid w:val="005867D5"/>
    <w:rsid w:val="00597390"/>
    <w:rsid w:val="005B13EC"/>
    <w:rsid w:val="005B1597"/>
    <w:rsid w:val="005C0320"/>
    <w:rsid w:val="005E1538"/>
    <w:rsid w:val="005E15D7"/>
    <w:rsid w:val="00620C1B"/>
    <w:rsid w:val="006366DD"/>
    <w:rsid w:val="00645236"/>
    <w:rsid w:val="00663163"/>
    <w:rsid w:val="00670236"/>
    <w:rsid w:val="00685777"/>
    <w:rsid w:val="006A7228"/>
    <w:rsid w:val="006B7C95"/>
    <w:rsid w:val="006C536E"/>
    <w:rsid w:val="006D7984"/>
    <w:rsid w:val="006F16FA"/>
    <w:rsid w:val="00704406"/>
    <w:rsid w:val="00756747"/>
    <w:rsid w:val="00760212"/>
    <w:rsid w:val="007A4AC4"/>
    <w:rsid w:val="007F0112"/>
    <w:rsid w:val="00802D2A"/>
    <w:rsid w:val="00814ED5"/>
    <w:rsid w:val="00860BB6"/>
    <w:rsid w:val="00866931"/>
    <w:rsid w:val="00887F1A"/>
    <w:rsid w:val="0089781E"/>
    <w:rsid w:val="008A437B"/>
    <w:rsid w:val="008A5440"/>
    <w:rsid w:val="008D3A0E"/>
    <w:rsid w:val="008E04C9"/>
    <w:rsid w:val="008E0A78"/>
    <w:rsid w:val="008F5C27"/>
    <w:rsid w:val="0091623F"/>
    <w:rsid w:val="00927F3E"/>
    <w:rsid w:val="0095047B"/>
    <w:rsid w:val="00953D8E"/>
    <w:rsid w:val="009950E2"/>
    <w:rsid w:val="009A0550"/>
    <w:rsid w:val="009B20DD"/>
    <w:rsid w:val="009F590D"/>
    <w:rsid w:val="00A06595"/>
    <w:rsid w:val="00A33EF0"/>
    <w:rsid w:val="00A37B9D"/>
    <w:rsid w:val="00A91C9D"/>
    <w:rsid w:val="00AB49CD"/>
    <w:rsid w:val="00AC46D4"/>
    <w:rsid w:val="00AE0BF1"/>
    <w:rsid w:val="00B17ECA"/>
    <w:rsid w:val="00B52439"/>
    <w:rsid w:val="00B538B9"/>
    <w:rsid w:val="00B53C9F"/>
    <w:rsid w:val="00B56537"/>
    <w:rsid w:val="00B61F85"/>
    <w:rsid w:val="00B71EAC"/>
    <w:rsid w:val="00B82D1C"/>
    <w:rsid w:val="00B833FE"/>
    <w:rsid w:val="00BD54D1"/>
    <w:rsid w:val="00BD6A96"/>
    <w:rsid w:val="00C02A07"/>
    <w:rsid w:val="00C04348"/>
    <w:rsid w:val="00C15283"/>
    <w:rsid w:val="00C1741A"/>
    <w:rsid w:val="00C55878"/>
    <w:rsid w:val="00C65E5D"/>
    <w:rsid w:val="00C7543F"/>
    <w:rsid w:val="00C824BC"/>
    <w:rsid w:val="00C86672"/>
    <w:rsid w:val="00C86760"/>
    <w:rsid w:val="00C932B2"/>
    <w:rsid w:val="00CA7CA7"/>
    <w:rsid w:val="00CB0967"/>
    <w:rsid w:val="00CC0CB8"/>
    <w:rsid w:val="00CC78E1"/>
    <w:rsid w:val="00CE09BA"/>
    <w:rsid w:val="00D24764"/>
    <w:rsid w:val="00D43D38"/>
    <w:rsid w:val="00D56028"/>
    <w:rsid w:val="00D6179E"/>
    <w:rsid w:val="00D75222"/>
    <w:rsid w:val="00D854DE"/>
    <w:rsid w:val="00DB0D44"/>
    <w:rsid w:val="00DB2BE7"/>
    <w:rsid w:val="00DC343A"/>
    <w:rsid w:val="00DD7C59"/>
    <w:rsid w:val="00E056E2"/>
    <w:rsid w:val="00E27ECF"/>
    <w:rsid w:val="00E35678"/>
    <w:rsid w:val="00E61F70"/>
    <w:rsid w:val="00E71809"/>
    <w:rsid w:val="00EA0E49"/>
    <w:rsid w:val="00EB4320"/>
    <w:rsid w:val="00EC3214"/>
    <w:rsid w:val="00EE5FE6"/>
    <w:rsid w:val="00F03F73"/>
    <w:rsid w:val="00F70E8F"/>
    <w:rsid w:val="00F74D29"/>
    <w:rsid w:val="00F87365"/>
    <w:rsid w:val="00F95D1C"/>
    <w:rsid w:val="00FD5947"/>
    <w:rsid w:val="00FD5E41"/>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7486C8"/>
  <w15:chartTrackingRefBased/>
  <w15:docId w15:val="{C33A1B0B-040F-43D5-97D7-5F67327C5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2827"/>
    <w:pPr>
      <w:spacing w:after="200" w:line="276" w:lineRule="auto"/>
    </w:pPr>
    <w:rPr>
      <w:kern w:val="0"/>
      <w:sz w:val="22"/>
      <w:szCs w:val="22"/>
      <w14:ligatures w14:val="none"/>
    </w:rPr>
  </w:style>
  <w:style w:type="paragraph" w:styleId="Heading1">
    <w:name w:val="heading 1"/>
    <w:basedOn w:val="Normal"/>
    <w:next w:val="Normal"/>
    <w:link w:val="Heading1Char"/>
    <w:uiPriority w:val="9"/>
    <w:qFormat/>
    <w:rsid w:val="00B17EC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17EC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17EC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17EC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17EC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17EC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17EC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17EC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17EC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7EC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17EC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17EC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17EC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17EC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17EC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17EC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17EC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17ECA"/>
    <w:rPr>
      <w:rFonts w:eastAsiaTheme="majorEastAsia" w:cstheme="majorBidi"/>
      <w:color w:val="272727" w:themeColor="text1" w:themeTint="D8"/>
    </w:rPr>
  </w:style>
  <w:style w:type="paragraph" w:styleId="Title">
    <w:name w:val="Title"/>
    <w:basedOn w:val="Normal"/>
    <w:next w:val="Normal"/>
    <w:link w:val="TitleChar"/>
    <w:uiPriority w:val="10"/>
    <w:qFormat/>
    <w:rsid w:val="00B17E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17EC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17EC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17EC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17ECA"/>
    <w:pPr>
      <w:spacing w:before="160"/>
      <w:jc w:val="center"/>
    </w:pPr>
    <w:rPr>
      <w:i/>
      <w:iCs/>
      <w:color w:val="404040" w:themeColor="text1" w:themeTint="BF"/>
    </w:rPr>
  </w:style>
  <w:style w:type="character" w:customStyle="1" w:styleId="QuoteChar">
    <w:name w:val="Quote Char"/>
    <w:basedOn w:val="DefaultParagraphFont"/>
    <w:link w:val="Quote"/>
    <w:uiPriority w:val="29"/>
    <w:rsid w:val="00B17ECA"/>
    <w:rPr>
      <w:i/>
      <w:iCs/>
      <w:color w:val="404040" w:themeColor="text1" w:themeTint="BF"/>
    </w:rPr>
  </w:style>
  <w:style w:type="paragraph" w:styleId="ListParagraph">
    <w:name w:val="List Paragraph"/>
    <w:basedOn w:val="Normal"/>
    <w:uiPriority w:val="34"/>
    <w:qFormat/>
    <w:rsid w:val="00B17ECA"/>
    <w:pPr>
      <w:ind w:left="720"/>
      <w:contextualSpacing/>
    </w:pPr>
  </w:style>
  <w:style w:type="character" w:styleId="IntenseEmphasis">
    <w:name w:val="Intense Emphasis"/>
    <w:basedOn w:val="DefaultParagraphFont"/>
    <w:uiPriority w:val="21"/>
    <w:qFormat/>
    <w:rsid w:val="00B17ECA"/>
    <w:rPr>
      <w:i/>
      <w:iCs/>
      <w:color w:val="2F5496" w:themeColor="accent1" w:themeShade="BF"/>
    </w:rPr>
  </w:style>
  <w:style w:type="paragraph" w:styleId="IntenseQuote">
    <w:name w:val="Intense Quote"/>
    <w:basedOn w:val="Normal"/>
    <w:next w:val="Normal"/>
    <w:link w:val="IntenseQuoteChar"/>
    <w:uiPriority w:val="30"/>
    <w:qFormat/>
    <w:rsid w:val="00B17EC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17ECA"/>
    <w:rPr>
      <w:i/>
      <w:iCs/>
      <w:color w:val="2F5496" w:themeColor="accent1" w:themeShade="BF"/>
    </w:rPr>
  </w:style>
  <w:style w:type="character" w:styleId="IntenseReference">
    <w:name w:val="Intense Reference"/>
    <w:basedOn w:val="DefaultParagraphFont"/>
    <w:uiPriority w:val="32"/>
    <w:qFormat/>
    <w:rsid w:val="00B17ECA"/>
    <w:rPr>
      <w:b/>
      <w:bCs/>
      <w:smallCaps/>
      <w:color w:val="2F5496" w:themeColor="accent1" w:themeShade="BF"/>
      <w:spacing w:val="5"/>
    </w:rPr>
  </w:style>
  <w:style w:type="paragraph" w:styleId="Header">
    <w:name w:val="header"/>
    <w:basedOn w:val="Normal"/>
    <w:link w:val="HeaderChar"/>
    <w:uiPriority w:val="99"/>
    <w:unhideWhenUsed/>
    <w:rsid w:val="00471F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1FFE"/>
  </w:style>
  <w:style w:type="paragraph" w:styleId="Footer">
    <w:name w:val="footer"/>
    <w:basedOn w:val="Normal"/>
    <w:link w:val="FooterChar"/>
    <w:uiPriority w:val="99"/>
    <w:unhideWhenUsed/>
    <w:rsid w:val="00471F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1FFE"/>
  </w:style>
  <w:style w:type="paragraph" w:styleId="NormalWeb">
    <w:name w:val="Normal (Web)"/>
    <w:basedOn w:val="Normal"/>
    <w:uiPriority w:val="99"/>
    <w:semiHidden/>
    <w:unhideWhenUsed/>
    <w:rsid w:val="006366DD"/>
    <w:pPr>
      <w:spacing w:before="100" w:beforeAutospacing="1" w:after="100" w:afterAutospacing="1" w:line="240" w:lineRule="auto"/>
    </w:pPr>
    <w:rPr>
      <w:rFonts w:ascii="Times New Roman" w:eastAsia="Times New Roman" w:hAnsi="Times New Roman" w:cs="Times New Roman"/>
      <w:sz w:val="24"/>
      <w:szCs w:val="24"/>
      <w:lang w:bidi="bn-IN"/>
    </w:rPr>
  </w:style>
  <w:style w:type="character" w:styleId="Strong">
    <w:name w:val="Strong"/>
    <w:basedOn w:val="DefaultParagraphFont"/>
    <w:uiPriority w:val="22"/>
    <w:qFormat/>
    <w:rsid w:val="004A3C80"/>
    <w:rPr>
      <w:b/>
      <w:bCs/>
    </w:rPr>
  </w:style>
  <w:style w:type="character" w:styleId="Hyperlink">
    <w:name w:val="Hyperlink"/>
    <w:basedOn w:val="DefaultParagraphFont"/>
    <w:uiPriority w:val="99"/>
    <w:unhideWhenUsed/>
    <w:rsid w:val="004A3C8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erdaus.ara.begum@buildbd.org" TargetMode="Externa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buildbd.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515</TotalTime>
  <Pages>3</Pages>
  <Words>1034</Words>
  <Characters>5898</Characters>
  <Application>Microsoft Office Word</Application>
  <DocSecurity>0</DocSecurity>
  <Lines>49</Lines>
  <Paragraphs>13</Paragraphs>
  <ScaleCrop>false</ScaleCrop>
  <Company/>
  <LinksUpToDate>false</LinksUpToDate>
  <CharactersWithSpaces>6919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 Mehedi Hasan</dc:creator>
  <cp:keywords/>
  <dc:description/>
  <cp:lastModifiedBy>Md Mehedi Hasan</cp:lastModifiedBy>
  <cp:revision>149</cp:revision>
  <dcterms:created xsi:type="dcterms:W3CDTF">2025-09-17T06:00:00Z</dcterms:created>
  <dcterms:modified xsi:type="dcterms:W3CDTF">2025-09-18T09:17:00Z</dcterms:modified>
</cp:coreProperties>
</file>